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1A" w:rsidRPr="00190185" w:rsidRDefault="000C341A" w:rsidP="000C34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  <w:lang w:val="en-GB"/>
        </w:rPr>
      </w:pP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Food </w:t>
      </w:r>
      <w:r w:rsidR="00A1765F" w:rsidRPr="00190185">
        <w:rPr>
          <w:rFonts w:ascii="Times New Roman" w:hAnsi="Times New Roman" w:cs="Times New Roman"/>
          <w:sz w:val="30"/>
          <w:szCs w:val="30"/>
          <w:lang w:val="en-GB"/>
        </w:rPr>
        <w:t>and nutritional recommendations for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="00A1765F" w:rsidRPr="00190185">
        <w:rPr>
          <w:rFonts w:ascii="Times New Roman" w:hAnsi="Times New Roman" w:cs="Times New Roman"/>
          <w:sz w:val="30"/>
          <w:szCs w:val="30"/>
          <w:lang w:val="en-GB"/>
        </w:rPr>
        <w:t>COVID-19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critical</w:t>
      </w:r>
      <w:r w:rsidR="009777FA" w:rsidRPr="00190185">
        <w:rPr>
          <w:rFonts w:ascii="Times New Roman" w:hAnsi="Times New Roman" w:cs="Times New Roman"/>
          <w:sz w:val="30"/>
          <w:szCs w:val="30"/>
          <w:lang w:val="en-GB"/>
        </w:rPr>
        <w:t>ly ill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patient</w:t>
      </w:r>
      <w:r w:rsidR="00A1765F" w:rsidRPr="00190185">
        <w:rPr>
          <w:rFonts w:ascii="Times New Roman" w:hAnsi="Times New Roman" w:cs="Times New Roman"/>
          <w:sz w:val="30"/>
          <w:szCs w:val="30"/>
          <w:lang w:val="en-GB"/>
        </w:rPr>
        <w:t>s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="00A1765F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admitted </w:t>
      </w:r>
      <w:r w:rsidR="009B59D6" w:rsidRPr="00190185">
        <w:rPr>
          <w:rFonts w:ascii="Times New Roman" w:hAnsi="Times New Roman" w:cs="Times New Roman"/>
          <w:sz w:val="30"/>
          <w:szCs w:val="30"/>
          <w:lang w:val="en-GB"/>
        </w:rPr>
        <w:t>to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the ICU</w:t>
      </w:r>
    </w:p>
    <w:p w:rsidR="000C341A" w:rsidRPr="00190185" w:rsidRDefault="000C341A" w:rsidP="000C34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>To answer the questions, all di</w:t>
      </w:r>
      <w:r w:rsidR="00A1765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rect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(assessing in COVID-19) and indirect </w:t>
      </w:r>
      <w:r w:rsidR="00A1765F" w:rsidRPr="00190185">
        <w:rPr>
          <w:rFonts w:ascii="Times New Roman" w:hAnsi="Times New Roman" w:cs="Times New Roman"/>
          <w:sz w:val="20"/>
          <w:szCs w:val="20"/>
          <w:lang w:val="en-GB"/>
        </w:rPr>
        <w:t>sources (assessing in SARS or MERS) are being reviewed.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A1765F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>Evidence evaluating</w:t>
      </w:r>
      <w:r w:rsidR="000C341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the impact on 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common </w:t>
      </w:r>
      <w:r w:rsidR="000C341A" w:rsidRPr="00190185">
        <w:rPr>
          <w:rFonts w:ascii="Times New Roman" w:hAnsi="Times New Roman" w:cs="Times New Roman"/>
          <w:sz w:val="20"/>
          <w:szCs w:val="20"/>
          <w:lang w:val="en-GB"/>
        </w:rPr>
        <w:t>cold ha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0C341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not been considered.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1. Nutritional support </w:t>
      </w:r>
      <w:r w:rsidR="00A1765F" w:rsidRPr="00190185">
        <w:rPr>
          <w:rFonts w:ascii="Times New Roman" w:hAnsi="Times New Roman" w:cs="Times New Roman"/>
          <w:sz w:val="20"/>
          <w:szCs w:val="20"/>
          <w:lang w:val="en-GB"/>
        </w:rPr>
        <w:t>must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be one of the </w:t>
      </w:r>
      <w:r w:rsidR="00A1765F" w:rsidRPr="00190185">
        <w:rPr>
          <w:rFonts w:ascii="Times New Roman" w:hAnsi="Times New Roman" w:cs="Times New Roman"/>
          <w:sz w:val="20"/>
          <w:szCs w:val="20"/>
          <w:lang w:val="en-GB"/>
        </w:rPr>
        <w:t>major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measures </w:t>
      </w:r>
      <w:r w:rsidR="00005822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of comprehensive treatment for COVID-19 patients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(13).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2. Although some guidelines recommend nutritional assessment of </w:t>
      </w:r>
      <w:r w:rsidR="00DF679C" w:rsidRPr="00190185">
        <w:rPr>
          <w:rFonts w:ascii="Times New Roman" w:hAnsi="Times New Roman" w:cs="Times New Roman"/>
          <w:sz w:val="20"/>
          <w:szCs w:val="20"/>
          <w:lang w:val="en-GB"/>
        </w:rPr>
        <w:t>critical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>ly ill</w:t>
      </w:r>
      <w:r w:rsidR="00DF679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patients through </w:t>
      </w:r>
      <w:r w:rsidR="00DF679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NUTRIC Score (31,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32), ESPEN guidelines do not recommend establishing the risk of malnutrition based on this Score, but after the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>admission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of more than 48 hours in the ICU (33). Most of the current guidelines recommend an early assessment of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these patients’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nutritional risk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establish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>ing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nutritional support goals.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3. Despite the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>WHO has included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initiation of enteral nutrition 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>within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="00EC7D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first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24-48h at the ICU, according to a Cochrane review, the low quality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evidence, does not allow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to clearly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establish whether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early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enteral nutrition (within the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>first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48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>h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), compared to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late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enteral nutrition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>(after 48h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), affects the risk of mortality within 30 days, food intolerance,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gastrointestinal complications or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pneumonia (34).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>On their behalf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, ESPEN suggests that </w:t>
      </w:r>
      <w:r w:rsidR="00795054" w:rsidRPr="00190185">
        <w:rPr>
          <w:rFonts w:ascii="Times New Roman" w:hAnsi="Times New Roman" w:cs="Times New Roman"/>
          <w:sz w:val="20"/>
          <w:szCs w:val="20"/>
          <w:lang w:val="en-GB"/>
        </w:rPr>
        <w:t>nutritional therapy should be considered 48h after admission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in the ICU (33).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>4. The indicators to be monitored mai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>nly include energy, protein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and fluid balance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maintenance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(13). According to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>indirect 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vidence, oral diet versus enteral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or parenteral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nutrition is generally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encouraged, and,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according to the severity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disease,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it is recommended to supply 20-30 kcal/Kg/d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(13). According to a Cochrane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review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, it is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>un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clear that the prescription 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>of hypocaloric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nutritional support</w:t>
      </w:r>
      <w:r w:rsidR="009B3A7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may be a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beneficial approach in terms of mortality </w:t>
      </w:r>
      <w:r w:rsidR="009158C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(in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9158CF" w:rsidRPr="00190185">
        <w:rPr>
          <w:rFonts w:ascii="Times New Roman" w:hAnsi="Times New Roman" w:cs="Times New Roman"/>
          <w:sz w:val="20"/>
          <w:szCs w:val="20"/>
          <w:lang w:val="en-GB"/>
        </w:rPr>
        <w:t>CU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9158C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at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30 days), or </w:t>
      </w:r>
      <w:r w:rsidR="009158CF" w:rsidRPr="00190185">
        <w:rPr>
          <w:rFonts w:ascii="Times New Roman" w:hAnsi="Times New Roman" w:cs="Times New Roman"/>
          <w:sz w:val="20"/>
          <w:szCs w:val="20"/>
          <w:lang w:val="en-GB"/>
        </w:rPr>
        <w:t>during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the length of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ICU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or</w:t>
      </w:r>
      <w:r w:rsidR="009158C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hospital </w:t>
      </w:r>
      <w:proofErr w:type="gramStart"/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stay</w:t>
      </w:r>
      <w:proofErr w:type="gramEnd"/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(35). Most guidelines consider that the </w:t>
      </w:r>
      <w:r w:rsidR="00D21B4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protein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requirement </w:t>
      </w:r>
      <w:r w:rsidR="00D21B48" w:rsidRPr="00190185">
        <w:rPr>
          <w:rFonts w:ascii="Times New Roman" w:hAnsi="Times New Roman" w:cs="Times New Roman"/>
          <w:sz w:val="20"/>
          <w:szCs w:val="20"/>
          <w:lang w:val="en-GB"/>
        </w:rPr>
        <w:t>is suitable within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the range of 1.2 to 2.0 g/kg/day. </w:t>
      </w:r>
      <w:r w:rsidR="00D21B48" w:rsidRPr="00190185">
        <w:rPr>
          <w:rFonts w:ascii="Times New Roman" w:hAnsi="Times New Roman" w:cs="Times New Roman"/>
          <w:sz w:val="20"/>
          <w:szCs w:val="20"/>
          <w:lang w:val="en-GB"/>
        </w:rPr>
        <w:t>Critically ill p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atients </w:t>
      </w:r>
      <w:r w:rsidR="00D21B48" w:rsidRPr="00190185">
        <w:rPr>
          <w:rFonts w:ascii="Times New Roman" w:hAnsi="Times New Roman" w:cs="Times New Roman"/>
          <w:sz w:val="20"/>
          <w:szCs w:val="20"/>
          <w:lang w:val="en-GB"/>
        </w:rPr>
        <w:t>present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muscle atrophy due to increased protein catabolism,</w:t>
      </w:r>
      <w:r w:rsidR="00D21B48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affecting survival and prognosis (13).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5. Due to the characteristics of admitted </w:t>
      </w:r>
      <w:r w:rsidR="00A561E1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subjects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(patients </w:t>
      </w:r>
      <w:r w:rsidR="00625F1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over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70</w:t>
      </w:r>
      <w:r w:rsidR="00625F1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years old,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loss of consciousness, poor oral care, prone position, gastroesophageal reflux) </w:t>
      </w:r>
      <w:r w:rsidR="00625F1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risk of </w:t>
      </w:r>
      <w:proofErr w:type="spellStart"/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>bronchoas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piration</w:t>
      </w:r>
      <w:proofErr w:type="spellEnd"/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25F16" w:rsidRPr="00190185">
        <w:rPr>
          <w:rFonts w:ascii="Times New Roman" w:hAnsi="Times New Roman" w:cs="Times New Roman"/>
          <w:sz w:val="20"/>
          <w:szCs w:val="20"/>
          <w:lang w:val="en-GB"/>
        </w:rPr>
        <w:t>must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be considered</w:t>
      </w:r>
      <w:r w:rsidR="00625F1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and 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loss of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airway protection (13).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6. Because several COVID-19 patients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>presented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microbial </w:t>
      </w:r>
      <w:proofErr w:type="spellStart"/>
      <w:r w:rsidRPr="00190185">
        <w:rPr>
          <w:rFonts w:ascii="Times New Roman" w:hAnsi="Times New Roman" w:cs="Times New Roman"/>
          <w:sz w:val="20"/>
          <w:szCs w:val="20"/>
          <w:lang w:val="en-GB"/>
        </w:rPr>
        <w:t>dysbiosis</w:t>
      </w:r>
      <w:proofErr w:type="spellEnd"/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it is possible that the use of prebiotics or probiotics (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food supplements with a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>type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of strains) could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prevent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secondary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infections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33D76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due to bacterial translocation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(30).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7. Indirect evidence from a Cochrane review suggests that there are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>uncertainties on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whether or not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critically ill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patients should be supplemented with selenium to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>boost their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immune system (36).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>8. Indirect evidence from a Cochrane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review suggests that there is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moderate evidence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regarding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that glutamine supplements reduce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infection rate and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>uration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of mechanical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assisted breathing, and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there is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low-quality </w:t>
      </w:r>
      <w:r w:rsidR="009777FA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evidence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reduced duration of hospital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admission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in patients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presenting severe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disease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s. However, it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seem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s to have little or no effect over the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risk of mortality and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length of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ICU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stay. The effects </w:t>
      </w:r>
      <w:r w:rsidR="009C162C" w:rsidRPr="00190185">
        <w:rPr>
          <w:rFonts w:ascii="Times New Roman" w:hAnsi="Times New Roman" w:cs="Times New Roman"/>
          <w:sz w:val="20"/>
          <w:szCs w:val="20"/>
          <w:lang w:val="en-GB"/>
        </w:rPr>
        <w:t>over the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risk of serious side effects were inaccurate (37).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90185" w:rsidRPr="00190185" w:rsidRDefault="00190185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190185">
        <w:rPr>
          <w:rFonts w:ascii="Times New Roman" w:hAnsi="Times New Roman" w:cs="Times New Roman"/>
          <w:sz w:val="30"/>
          <w:szCs w:val="30"/>
          <w:lang w:val="en-GB"/>
        </w:rPr>
        <w:t>Is there a nutrient or compound that</w:t>
      </w:r>
      <w:r w:rsidR="00033D76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="00044DD5" w:rsidRPr="00190185">
        <w:rPr>
          <w:rFonts w:ascii="Times New Roman" w:hAnsi="Times New Roman" w:cs="Times New Roman"/>
          <w:sz w:val="30"/>
          <w:szCs w:val="30"/>
          <w:lang w:val="en-GB"/>
        </w:rPr>
        <w:t>may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help </w:t>
      </w:r>
      <w:r w:rsidR="00044DD5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to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fight the virus in </w:t>
      </w:r>
      <w:r w:rsidR="00044DD5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COVID-19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>patients</w:t>
      </w:r>
      <w:r w:rsidR="00044DD5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>at the ICU?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>It is unlikely that</w:t>
      </w:r>
      <w:r w:rsidR="00044DD5" w:rsidRPr="00190185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for the management of COVID-19, </w:t>
      </w:r>
      <w:r w:rsidR="00044DD5" w:rsidRPr="00190185">
        <w:rPr>
          <w:rFonts w:ascii="Times New Roman" w:hAnsi="Times New Roman" w:cs="Times New Roman"/>
          <w:sz w:val="20"/>
          <w:szCs w:val="20"/>
          <w:lang w:val="en-GB"/>
        </w:rPr>
        <w:t>an option would be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to enhance the consumption of the nutrients indicated by the 'European Food Safety Authority' (EFSA) as nutrients with </w:t>
      </w:r>
      <w:r w:rsidR="00044DD5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approved health </w:t>
      </w:r>
      <w:r w:rsidR="00044DD5" w:rsidRPr="00190185">
        <w:rPr>
          <w:rFonts w:ascii="Times New Roman" w:hAnsi="Times New Roman" w:cs="Times New Roman"/>
          <w:sz w:val="20"/>
          <w:szCs w:val="20"/>
          <w:lang w:val="en-GB"/>
        </w:rPr>
        <w:t>claim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44DD5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that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contribute to the normal functioning of the 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>immune system (copper, folate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, iron, selenium, vitamin A, vitamin B12, vitamin B6, vitamin C, vitamin D and zinc; </w:t>
      </w:r>
      <w:hyperlink r:id="rId7" w:history="1">
        <w:r w:rsidRPr="00190185">
          <w:rPr>
            <w:rStyle w:val="Hipervnculo"/>
            <w:rFonts w:ascii="Times New Roman" w:hAnsi="Times New Roman" w:cs="Times New Roman"/>
            <w:color w:val="auto"/>
            <w:sz w:val="20"/>
            <w:szCs w:val="20"/>
            <w:lang w:val="en-GB"/>
          </w:rPr>
          <w:t>https://ec.europa.eu/food/safety/labelling_nutrition/claims/register/public/</w:t>
        </w:r>
      </w:hyperlink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). Theref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>ore, their consumption SHOULD NOT be encouraged for this purpose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. This conclusion is 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asserted even after carefully reviewing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 review article on 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otential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dietetic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interventions 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coronavirus (34), reinf</w:t>
      </w:r>
      <w:r w:rsidR="000A562F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orced by the findings of a work 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SARS, MERS and COVID-19 (35).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br/>
        <w:t xml:space="preserve">The effectiveness of the use of any other nutrient or 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compounds named nutraceuticals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has not been 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assessed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, including </w:t>
      </w:r>
      <w:proofErr w:type="spellStart"/>
      <w:r w:rsidRPr="00190185">
        <w:rPr>
          <w:rFonts w:ascii="Times New Roman" w:hAnsi="Times New Roman" w:cs="Times New Roman"/>
          <w:sz w:val="20"/>
          <w:szCs w:val="20"/>
          <w:lang w:val="en-GB"/>
        </w:rPr>
        <w:t>ferulic</w:t>
      </w:r>
      <w:proofErr w:type="spellEnd"/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acid, lipoic acid, </w:t>
      </w:r>
      <w:proofErr w:type="spellStart"/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spirulin</w:t>
      </w:r>
      <w:proofErr w:type="spellEnd"/>
      <w:r w:rsidRPr="00190185">
        <w:rPr>
          <w:rFonts w:ascii="Times New Roman" w:hAnsi="Times New Roman" w:cs="Times New Roman"/>
          <w:sz w:val="20"/>
          <w:szCs w:val="20"/>
          <w:lang w:val="en-GB"/>
        </w:rPr>
        <w:t>, N-Acetylcysteine, glucosam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ine, beta-glucans or elderberry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to help fight the virus. This conclusion is 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asserted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even after carefully review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>ing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a review article on potential interventions </w:t>
      </w:r>
      <w:r w:rsidR="002B5E6B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on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coronavirus (25).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Pr="00190185" w:rsidRDefault="009B59D6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  <w:lang w:val="en-GB"/>
        </w:rPr>
      </w:pPr>
      <w:r w:rsidRPr="00190185">
        <w:rPr>
          <w:rFonts w:ascii="Times New Roman" w:hAnsi="Times New Roman" w:cs="Times New Roman"/>
          <w:sz w:val="30"/>
          <w:szCs w:val="30"/>
          <w:lang w:val="en-GB"/>
        </w:rPr>
        <w:t>Can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the consumption of herbs 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help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to 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>fight the virus</w:t>
      </w:r>
      <w:r w:rsidR="00044DD5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in 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>COVID-19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patients admitted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</w:t>
      </w:r>
      <w:r w:rsidRPr="00190185">
        <w:rPr>
          <w:rFonts w:ascii="Times New Roman" w:hAnsi="Times New Roman" w:cs="Times New Roman"/>
          <w:sz w:val="30"/>
          <w:szCs w:val="30"/>
          <w:lang w:val="en-GB"/>
        </w:rPr>
        <w:t>to</w:t>
      </w:r>
      <w:r w:rsidR="000C341A" w:rsidRPr="00190185">
        <w:rPr>
          <w:rFonts w:ascii="Times New Roman" w:hAnsi="Times New Roman" w:cs="Times New Roman"/>
          <w:sz w:val="30"/>
          <w:szCs w:val="30"/>
          <w:lang w:val="en-GB"/>
        </w:rPr>
        <w:t xml:space="preserve"> the ICU?</w:t>
      </w:r>
    </w:p>
    <w:p w:rsidR="000C341A" w:rsidRPr="00190185" w:rsidRDefault="000C341A" w:rsidP="00A176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C341A" w:rsidRDefault="000C341A" w:rsidP="00A1765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It is NOT recommended to consume any herb that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>guarantees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efficacy to help fight the coronavirus. Using indirect evidence of SARS,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Cochrane review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>from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2012 concludes that the use of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herbs from traditional 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Chinese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>medicine did not bring benefits for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 xml:space="preserve"> this pathology in terms of mortality (27), and the rest of the possible beneficial effects (improvement of symptoms) were called into question due to the poor quality of the </w:t>
      </w:r>
      <w:r w:rsidR="009F4A75" w:rsidRPr="00190185">
        <w:rPr>
          <w:rFonts w:ascii="Times New Roman" w:hAnsi="Times New Roman" w:cs="Times New Roman"/>
          <w:sz w:val="20"/>
          <w:szCs w:val="20"/>
          <w:lang w:val="en-GB"/>
        </w:rPr>
        <w:t>evidence</w:t>
      </w:r>
      <w:r w:rsidRPr="00190185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190185" w:rsidRDefault="00190185" w:rsidP="00A1765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90185" w:rsidRDefault="00190185" w:rsidP="00A1765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90185" w:rsidRDefault="00190185" w:rsidP="00A1765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90185" w:rsidRPr="00190185" w:rsidRDefault="00190185" w:rsidP="00A1765F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sectPr w:rsidR="00190185" w:rsidRPr="00190185" w:rsidSect="0092779A">
      <w:headerReference w:type="default" r:id="rId8"/>
      <w:footerReference w:type="default" r:id="rId9"/>
      <w:pgSz w:w="11905" w:h="1683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85" w:rsidRDefault="00190185" w:rsidP="00190185">
      <w:r>
        <w:separator/>
      </w:r>
    </w:p>
  </w:endnote>
  <w:endnote w:type="continuationSeparator" w:id="0">
    <w:p w:rsidR="00190185" w:rsidRDefault="00190185" w:rsidP="001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85" w:rsidRDefault="00190185">
    <w:pPr>
      <w:pStyle w:val="Piedepgina"/>
      <w:rPr>
        <w:i/>
        <w:sz w:val="20"/>
        <w:szCs w:val="20"/>
      </w:rPr>
    </w:pPr>
  </w:p>
  <w:p w:rsidR="00190185" w:rsidRDefault="00190185">
    <w:pPr>
      <w:pStyle w:val="Piedepgina"/>
      <w:rPr>
        <w:i/>
        <w:sz w:val="20"/>
        <w:szCs w:val="20"/>
      </w:rPr>
    </w:pPr>
  </w:p>
  <w:p w:rsidR="00190185" w:rsidRDefault="00190185">
    <w:pPr>
      <w:pStyle w:val="Piedepgina"/>
      <w:rPr>
        <w:i/>
        <w:sz w:val="20"/>
        <w:szCs w:val="20"/>
      </w:rPr>
    </w:pPr>
  </w:p>
  <w:p w:rsidR="00FD7D6A" w:rsidRPr="00FD7D6A" w:rsidRDefault="00FD7D6A" w:rsidP="00FD7D6A">
    <w:pPr>
      <w:rPr>
        <w:rFonts w:eastAsia="Times New Roman"/>
        <w:i/>
        <w:sz w:val="18"/>
        <w:szCs w:val="18"/>
      </w:rPr>
    </w:pPr>
    <w:proofErr w:type="spellStart"/>
    <w:r w:rsidRPr="00FD7D6A">
      <w:rPr>
        <w:i/>
        <w:sz w:val="18"/>
        <w:szCs w:val="18"/>
      </w:rPr>
      <w:t>Part</w:t>
    </w:r>
    <w:proofErr w:type="spellEnd"/>
    <w:r w:rsidRPr="00FD7D6A">
      <w:rPr>
        <w:i/>
        <w:sz w:val="18"/>
        <w:szCs w:val="18"/>
      </w:rPr>
      <w:t xml:space="preserve"> of</w:t>
    </w:r>
    <w:r w:rsidR="00190185" w:rsidRPr="00FD7D6A">
      <w:rPr>
        <w:i/>
        <w:sz w:val="18"/>
        <w:szCs w:val="18"/>
      </w:rPr>
      <w:t xml:space="preserve"> the position </w:t>
    </w:r>
    <w:proofErr w:type="spellStart"/>
    <w:r w:rsidR="00190185" w:rsidRPr="00FD7D6A">
      <w:rPr>
        <w:i/>
        <w:sz w:val="18"/>
        <w:szCs w:val="18"/>
      </w:rPr>
      <w:t>paper</w:t>
    </w:r>
    <w:proofErr w:type="spellEnd"/>
    <w:r w:rsidR="00190185" w:rsidRPr="00FD7D6A">
      <w:rPr>
        <w:i/>
        <w:sz w:val="18"/>
        <w:szCs w:val="18"/>
      </w:rPr>
      <w:t xml:space="preserve"> of the General Council of Dietitians-</w:t>
    </w:r>
    <w:proofErr w:type="spellStart"/>
    <w:r w:rsidR="00190185" w:rsidRPr="00FD7D6A">
      <w:rPr>
        <w:i/>
        <w:sz w:val="18"/>
        <w:szCs w:val="18"/>
      </w:rPr>
      <w:t>Nutritionists</w:t>
    </w:r>
    <w:proofErr w:type="spellEnd"/>
    <w:r w:rsidR="00190185" w:rsidRPr="00FD7D6A">
      <w:rPr>
        <w:i/>
        <w:sz w:val="18"/>
        <w:szCs w:val="18"/>
      </w:rPr>
      <w:t xml:space="preserve"> and the </w:t>
    </w:r>
    <w:proofErr w:type="spellStart"/>
    <w:r w:rsidR="00190185" w:rsidRPr="00FD7D6A">
      <w:rPr>
        <w:i/>
        <w:sz w:val="18"/>
        <w:szCs w:val="18"/>
      </w:rPr>
      <w:t>Spanish</w:t>
    </w:r>
    <w:proofErr w:type="spellEnd"/>
    <w:r w:rsidR="00190185" w:rsidRPr="00FD7D6A">
      <w:rPr>
        <w:i/>
        <w:sz w:val="18"/>
        <w:szCs w:val="18"/>
      </w:rPr>
      <w:t xml:space="preserve"> Academy of Nutrition and Dietetics</w:t>
    </w:r>
    <w:r w:rsidRPr="00FD7D6A">
      <w:rPr>
        <w:i/>
        <w:sz w:val="18"/>
        <w:szCs w:val="18"/>
      </w:rPr>
      <w:t xml:space="preserve"> </w:t>
    </w:r>
    <w:hyperlink r:id="rId1" w:history="1">
      <w:r w:rsidRPr="00FD7D6A">
        <w:rPr>
          <w:rStyle w:val="Hipervnculo"/>
          <w:rFonts w:eastAsia="Times New Roman"/>
          <w:i/>
          <w:sz w:val="18"/>
          <w:szCs w:val="18"/>
        </w:rPr>
        <w:t>https://academianutricionydietetica.org/NOTICIAS/alimentacioncoronavirus.pdf</w:t>
      </w:r>
    </w:hyperlink>
  </w:p>
  <w:p w:rsidR="00190185" w:rsidRPr="00190185" w:rsidRDefault="00190185">
    <w:pPr>
      <w:pStyle w:val="Piedep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85" w:rsidRDefault="00190185" w:rsidP="00190185">
      <w:r>
        <w:separator/>
      </w:r>
    </w:p>
  </w:footnote>
  <w:footnote w:type="continuationSeparator" w:id="0">
    <w:p w:rsidR="00190185" w:rsidRDefault="00190185" w:rsidP="001901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85" w:rsidRDefault="00190185">
    <w:pPr>
      <w:pStyle w:val="Encabezado"/>
    </w:pPr>
    <w:r>
      <w:rPr>
        <w:noProof/>
        <w:lang w:val="es-ES"/>
      </w:rPr>
      <w:drawing>
        <wp:inline distT="0" distB="0" distL="0" distR="0">
          <wp:extent cx="1713258" cy="702792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ND_CMYK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58" cy="70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s-ES"/>
      </w:rPr>
      <w:drawing>
        <wp:inline distT="0" distB="0" distL="0" distR="0">
          <wp:extent cx="1713258" cy="603459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oGral-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58" cy="60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s-ES"/>
      </w:rPr>
      <w:drawing>
        <wp:inline distT="0" distB="0" distL="0" distR="0">
          <wp:extent cx="1143745" cy="885619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d nube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58" cy="885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185" w:rsidRDefault="00190185">
    <w:pPr>
      <w:pStyle w:val="Encabezado"/>
    </w:pPr>
  </w:p>
  <w:p w:rsidR="00190185" w:rsidRDefault="001901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1A"/>
    <w:rsid w:val="00005822"/>
    <w:rsid w:val="00033D76"/>
    <w:rsid w:val="00044DD5"/>
    <w:rsid w:val="000A562F"/>
    <w:rsid w:val="000C341A"/>
    <w:rsid w:val="00190185"/>
    <w:rsid w:val="002B5E6B"/>
    <w:rsid w:val="00320B23"/>
    <w:rsid w:val="00625F16"/>
    <w:rsid w:val="00795054"/>
    <w:rsid w:val="009158CF"/>
    <w:rsid w:val="0092779A"/>
    <w:rsid w:val="009777FA"/>
    <w:rsid w:val="009B3A78"/>
    <w:rsid w:val="009B59D6"/>
    <w:rsid w:val="009C162C"/>
    <w:rsid w:val="009F4A75"/>
    <w:rsid w:val="00A1765F"/>
    <w:rsid w:val="00A561E1"/>
    <w:rsid w:val="00D21B48"/>
    <w:rsid w:val="00DF679C"/>
    <w:rsid w:val="00EC7DF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4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0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185"/>
  </w:style>
  <w:style w:type="paragraph" w:styleId="Piedepgina">
    <w:name w:val="footer"/>
    <w:basedOn w:val="Normal"/>
    <w:link w:val="PiedepginaCar"/>
    <w:uiPriority w:val="99"/>
    <w:unhideWhenUsed/>
    <w:rsid w:val="00190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85"/>
  </w:style>
  <w:style w:type="paragraph" w:styleId="Textodeglobo">
    <w:name w:val="Balloon Text"/>
    <w:basedOn w:val="Normal"/>
    <w:link w:val="TextodegloboCar"/>
    <w:uiPriority w:val="99"/>
    <w:semiHidden/>
    <w:unhideWhenUsed/>
    <w:rsid w:val="001901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1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34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0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185"/>
  </w:style>
  <w:style w:type="paragraph" w:styleId="Piedepgina">
    <w:name w:val="footer"/>
    <w:basedOn w:val="Normal"/>
    <w:link w:val="PiedepginaCar"/>
    <w:uiPriority w:val="99"/>
    <w:unhideWhenUsed/>
    <w:rsid w:val="00190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185"/>
  </w:style>
  <w:style w:type="paragraph" w:styleId="Textodeglobo">
    <w:name w:val="Balloon Text"/>
    <w:basedOn w:val="Normal"/>
    <w:link w:val="TextodegloboCar"/>
    <w:uiPriority w:val="99"/>
    <w:semiHidden/>
    <w:unhideWhenUsed/>
    <w:rsid w:val="001901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1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c.europa.eu/food/safety/labelling_nutrition/claims/register/public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ademianutricionydietetica.org/NOTICIAS/alimentacioncoronaviru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4352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Mª Palau Ferré</dc:creator>
  <cp:keywords/>
  <dc:description/>
  <cp:lastModifiedBy>Alma Mª Palau Ferré</cp:lastModifiedBy>
  <cp:revision>2</cp:revision>
  <dcterms:created xsi:type="dcterms:W3CDTF">2020-03-25T18:54:00Z</dcterms:created>
  <dcterms:modified xsi:type="dcterms:W3CDTF">2020-03-25T18:54:00Z</dcterms:modified>
</cp:coreProperties>
</file>