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64"/>
      </w:tblGrid>
      <w:tr w:rsidR="00042826" w:rsidRPr="00881316" w14:paraId="5C5889D1" w14:textId="77777777" w:rsidTr="00CA7A29">
        <w:tc>
          <w:tcPr>
            <w:tcW w:w="2127" w:type="dxa"/>
          </w:tcPr>
          <w:p w14:paraId="4ED5858D" w14:textId="77777777" w:rsidR="00042826" w:rsidRPr="00881316" w:rsidRDefault="00042826" w:rsidP="00CA7A29">
            <w:pPr>
              <w:rPr>
                <w:rFonts w:cstheme="minorHAnsi"/>
              </w:rPr>
            </w:pPr>
          </w:p>
          <w:p w14:paraId="7071616A" w14:textId="77777777" w:rsidR="00042826" w:rsidRPr="00881316" w:rsidRDefault="00042826" w:rsidP="00CA7A29">
            <w:pPr>
              <w:rPr>
                <w:rFonts w:cstheme="minorHAnsi"/>
              </w:rPr>
            </w:pPr>
          </w:p>
          <w:p w14:paraId="48B30EA0" w14:textId="77777777" w:rsidR="00042826" w:rsidRPr="00881316" w:rsidRDefault="00042826" w:rsidP="00CA7A29">
            <w:pPr>
              <w:rPr>
                <w:rFonts w:cstheme="minorHAnsi"/>
              </w:rPr>
            </w:pPr>
            <w:r w:rsidRPr="00881316">
              <w:rPr>
                <w:rFonts w:cstheme="minorHAnsi"/>
                <w:noProof/>
              </w:rPr>
              <w:drawing>
                <wp:inline distT="0" distB="0" distL="0" distR="0" wp14:anchorId="03379F0A" wp14:editId="07DD0420">
                  <wp:extent cx="1980000" cy="1676191"/>
                  <wp:effectExtent l="0" t="0" r="0" b="0"/>
                  <wp:docPr id="2" name="Grafik 2" descr="Ein Bild, das Mann, Person, Brille,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ann, Person, Brille, männlich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000" cy="1676191"/>
                          </a:xfrm>
                          <a:prstGeom prst="rect">
                            <a:avLst/>
                          </a:prstGeom>
                        </pic:spPr>
                      </pic:pic>
                    </a:graphicData>
                  </a:graphic>
                </wp:inline>
              </w:drawing>
            </w:r>
          </w:p>
        </w:tc>
        <w:tc>
          <w:tcPr>
            <w:tcW w:w="7371" w:type="dxa"/>
          </w:tcPr>
          <w:p w14:paraId="1844F85A" w14:textId="77777777" w:rsidR="00042826" w:rsidRPr="00881316" w:rsidRDefault="00042826" w:rsidP="00CA7A29">
            <w:pPr>
              <w:rPr>
                <w:rFonts w:cstheme="minorHAnsi"/>
              </w:rPr>
            </w:pPr>
            <w:r w:rsidRPr="00881316">
              <w:rPr>
                <w:rFonts w:cstheme="minorHAnsi"/>
              </w:rPr>
              <w:t>Robert Speer, Switzerland</w:t>
            </w:r>
          </w:p>
          <w:p w14:paraId="28F86193" w14:textId="77777777" w:rsidR="00042826" w:rsidRPr="00881316" w:rsidRDefault="00042826" w:rsidP="00CA7A29">
            <w:pPr>
              <w:rPr>
                <w:rFonts w:cstheme="minorHAnsi"/>
              </w:rPr>
            </w:pPr>
          </w:p>
          <w:p w14:paraId="2544EE43" w14:textId="03B810E1" w:rsidR="0030211E" w:rsidRPr="00003494" w:rsidRDefault="00042826" w:rsidP="00CA7A29">
            <w:pPr>
              <w:rPr>
                <w:rFonts w:eastAsia="Times New Roman" w:cstheme="minorHAnsi"/>
                <w:b/>
                <w:bCs/>
                <w:lang w:val="en-US" w:eastAsia="el-GR"/>
              </w:rPr>
            </w:pPr>
            <w:bookmarkStart w:id="0" w:name="_Hlk89608788"/>
            <w:r w:rsidRPr="00881316">
              <w:rPr>
                <w:rFonts w:eastAsia="Times New Roman" w:cstheme="minorHAnsi"/>
                <w:b/>
                <w:bCs/>
                <w:lang w:val="en-US" w:eastAsia="el-GR"/>
              </w:rPr>
              <w:t>Why elderly care is so important for me:</w:t>
            </w:r>
            <w:bookmarkEnd w:id="0"/>
          </w:p>
          <w:p w14:paraId="686A2140" w14:textId="77777777" w:rsidR="0030211E" w:rsidRPr="0030211E" w:rsidRDefault="0030211E" w:rsidP="0030211E">
            <w:pPr>
              <w:rPr>
                <w:rFonts w:eastAsia="Times New Roman" w:cstheme="minorHAnsi"/>
                <w:lang w:val="en-US" w:eastAsia="el-GR"/>
              </w:rPr>
            </w:pPr>
            <w:r w:rsidRPr="0030211E">
              <w:rPr>
                <w:rFonts w:eastAsia="Times New Roman" w:cstheme="minorHAnsi"/>
                <w:lang w:val="en-US" w:eastAsia="el-GR"/>
              </w:rPr>
              <w:t>A good nutritional status provides the basis for healthy ageing. Acute or chronic deterioration increases the risk of morbidity, the need for support and even loss of autonomy. Accordingly, support for those affected must be guaranteed across settings. Strengthening the role of dieticians in the geriatric setting is a matter of concern to me, especially in the outpatient treatment team, where nutrition therapy is currently insufficiently represented.</w:t>
            </w:r>
          </w:p>
          <w:p w14:paraId="1042FFD8" w14:textId="14D5B2C5" w:rsidR="00042826" w:rsidRDefault="00042826" w:rsidP="0030211E">
            <w:pPr>
              <w:rPr>
                <w:rFonts w:cstheme="minorHAnsi"/>
                <w:color w:val="0070C0"/>
                <w:shd w:val="clear" w:color="auto" w:fill="FFFFFF"/>
                <w:lang w:val="en-US"/>
              </w:rPr>
            </w:pPr>
            <w:r w:rsidRPr="00881316">
              <w:rPr>
                <w:rFonts w:eastAsia="Times New Roman" w:cstheme="minorHAnsi"/>
                <w:b/>
                <w:bCs/>
                <w:lang w:val="en-US" w:eastAsia="el-GR"/>
              </w:rPr>
              <w:br/>
            </w:r>
          </w:p>
          <w:p w14:paraId="05E24D55" w14:textId="77777777" w:rsidR="005E0AEF" w:rsidRDefault="005E0AEF" w:rsidP="00CA7A29">
            <w:pPr>
              <w:rPr>
                <w:rFonts w:cstheme="minorHAnsi"/>
                <w:color w:val="0070C0"/>
              </w:rPr>
            </w:pPr>
          </w:p>
          <w:p w14:paraId="720C48FA" w14:textId="12423048" w:rsidR="002560E5" w:rsidRPr="00881316" w:rsidRDefault="002560E5" w:rsidP="00CA7A29">
            <w:pPr>
              <w:rPr>
                <w:rFonts w:cstheme="minorHAnsi"/>
              </w:rPr>
            </w:pPr>
          </w:p>
        </w:tc>
      </w:tr>
      <w:tr w:rsidR="00042826" w:rsidRPr="00881316" w14:paraId="4C9B772C" w14:textId="77777777" w:rsidTr="00CA7A29">
        <w:tc>
          <w:tcPr>
            <w:tcW w:w="9498" w:type="dxa"/>
            <w:gridSpan w:val="2"/>
          </w:tcPr>
          <w:p w14:paraId="4BABFF73" w14:textId="77777777" w:rsidR="00042826" w:rsidRPr="00881316" w:rsidRDefault="00042826" w:rsidP="00042826">
            <w:pPr>
              <w:pStyle w:val="Listenabsatz"/>
              <w:numPr>
                <w:ilvl w:val="0"/>
                <w:numId w:val="1"/>
              </w:numPr>
              <w:ind w:left="454"/>
              <w:rPr>
                <w:rFonts w:cstheme="minorHAnsi"/>
              </w:rPr>
            </w:pPr>
            <w:r w:rsidRPr="00881316">
              <w:rPr>
                <w:rFonts w:cstheme="minorHAnsi"/>
                <w:lang w:val="en-US"/>
              </w:rPr>
              <w:t>Clinical dietitian, MSc nutr. med.</w:t>
            </w:r>
          </w:p>
          <w:p w14:paraId="14BA5D56" w14:textId="7C23082D" w:rsidR="00042826" w:rsidRPr="002560E5" w:rsidRDefault="00042826" w:rsidP="00CA7A29">
            <w:pPr>
              <w:pStyle w:val="Listenabsatz"/>
              <w:numPr>
                <w:ilvl w:val="0"/>
                <w:numId w:val="1"/>
              </w:numPr>
              <w:ind w:left="454"/>
              <w:rPr>
                <w:rFonts w:cstheme="minorHAnsi"/>
              </w:rPr>
            </w:pPr>
            <w:r w:rsidRPr="00881316">
              <w:rPr>
                <w:rFonts w:cstheme="minorHAnsi"/>
              </w:rPr>
              <w:t>PhD student, Paracelsus Medical University Nuremberg, Department of Geriatrics</w:t>
            </w:r>
          </w:p>
        </w:tc>
      </w:tr>
    </w:tbl>
    <w:p w14:paraId="6B73C05D" w14:textId="39EA77C1" w:rsidR="00FD5A36" w:rsidRDefault="00FD5A36"/>
    <w:p w14:paraId="7301048C" w14:textId="20C90DC1" w:rsidR="00042826" w:rsidRDefault="00042826">
      <w:r w:rsidRPr="00BA231C">
        <w:rPr>
          <w:rFonts w:cstheme="minorHAnsi"/>
        </w:rPr>
        <w:t xml:space="preserve">Specialisations or expertise: My field of research focuses on malnutrition and sarcopenia in older adults in geriatric acute and rehabilitation setting. In addition, nutritional support in outpatient after discharge is on spot. Beside that I specialize in nutrition therapy </w:t>
      </w:r>
      <w:r w:rsidR="00954761">
        <w:rPr>
          <w:rFonts w:cstheme="minorHAnsi"/>
        </w:rPr>
        <w:t xml:space="preserve">in </w:t>
      </w:r>
      <w:r w:rsidR="00954761" w:rsidRPr="00BA231C">
        <w:rPr>
          <w:rFonts w:cstheme="minorHAnsi"/>
        </w:rPr>
        <w:t>gastroenterology</w:t>
      </w:r>
      <w:r w:rsidR="00954761" w:rsidRPr="00BA231C">
        <w:rPr>
          <w:rFonts w:cstheme="minorHAnsi"/>
        </w:rPr>
        <w:t xml:space="preserve"> </w:t>
      </w:r>
      <w:r w:rsidRPr="00BA231C">
        <w:rPr>
          <w:rFonts w:cstheme="minorHAnsi"/>
        </w:rPr>
        <w:t>and enteral nutrition</w:t>
      </w:r>
      <w:r>
        <w:rPr>
          <w:rFonts w:cstheme="minorHAnsi"/>
        </w:rPr>
        <w:t>.</w:t>
      </w:r>
    </w:p>
    <w:p w14:paraId="283194D1" w14:textId="516FD4B1" w:rsidR="00042826" w:rsidRDefault="00042826"/>
    <w:p w14:paraId="02E2D47C" w14:textId="01BCCA2D" w:rsidR="00042826" w:rsidRPr="00BA231C" w:rsidRDefault="00042826" w:rsidP="00042826">
      <w:pPr>
        <w:spacing w:after="0" w:line="240" w:lineRule="auto"/>
        <w:rPr>
          <w:rFonts w:cstheme="minorHAnsi"/>
          <w:u w:val="single"/>
        </w:rPr>
      </w:pPr>
      <w:r w:rsidRPr="00BA231C">
        <w:rPr>
          <w:rFonts w:cstheme="minorHAnsi"/>
          <w:u w:val="single"/>
        </w:rPr>
        <w:t>Langzeitpflegeeinrichtungen in der COVID-19-Pandemie: Überlegungen auf dem Weg zurück in die Normalität [Long-term care facilities during the COVID-19 pandemic: Considerations on the way back to normality].</w:t>
      </w:r>
    </w:p>
    <w:p w14:paraId="52FE5C7B" w14:textId="77777777" w:rsidR="00042826" w:rsidRPr="00042826" w:rsidRDefault="00042826" w:rsidP="00042826">
      <w:pPr>
        <w:spacing w:after="0" w:line="240" w:lineRule="auto"/>
        <w:rPr>
          <w:rFonts w:cstheme="minorHAnsi"/>
          <w:lang w:val="de-DE"/>
        </w:rPr>
      </w:pPr>
      <w:r w:rsidRPr="00042826">
        <w:rPr>
          <w:rFonts w:cstheme="minorHAnsi"/>
          <w:lang w:val="de-DE"/>
        </w:rPr>
        <w:t xml:space="preserve">Gosch, M., Altrichter, D., Pflügner, M., Frohnhofen, H., Steinmann, J., Schmude-Basic, I., Adamek, A., Johnscher, I., Kandler, U., Wunner, C., Waller, C., Speer, R., Habboub, B., Brons-Daymond, S., Schadinger, C., &amp; Singler, K. (2021). Zeitschrift fur Gerontologie und Geriatrie, 54(4), 377–383. </w:t>
      </w:r>
      <w:hyperlink r:id="rId6" w:history="1">
        <w:r w:rsidRPr="00042826">
          <w:rPr>
            <w:rFonts w:cstheme="minorHAnsi"/>
            <w:lang w:val="de-DE"/>
          </w:rPr>
          <w:t>https://doi.org/10.1007/s00391-021-01922-7</w:t>
        </w:r>
      </w:hyperlink>
    </w:p>
    <w:p w14:paraId="4A3F735A" w14:textId="7F39277F" w:rsidR="00042826" w:rsidRPr="002560E5" w:rsidRDefault="00042826" w:rsidP="00042826">
      <w:pPr>
        <w:spacing w:after="0" w:line="240" w:lineRule="auto"/>
        <w:rPr>
          <w:rFonts w:cstheme="minorHAnsi"/>
          <w:lang w:val="de-DE"/>
        </w:rPr>
      </w:pPr>
    </w:p>
    <w:p w14:paraId="651A8407" w14:textId="77777777" w:rsidR="00042826" w:rsidRPr="002560E5" w:rsidRDefault="00042826" w:rsidP="00042826">
      <w:pPr>
        <w:spacing w:after="0" w:line="240" w:lineRule="auto"/>
        <w:rPr>
          <w:rFonts w:cstheme="minorHAnsi"/>
          <w:u w:val="single"/>
          <w:lang w:val="de-DE"/>
        </w:rPr>
      </w:pPr>
      <w:r w:rsidRPr="002560E5">
        <w:rPr>
          <w:rFonts w:cstheme="minorHAnsi"/>
          <w:u w:val="single"/>
          <w:lang w:val="de-DE"/>
        </w:rPr>
        <w:t>Prospective assessment of malnutrition in urologic patients.</w:t>
      </w:r>
    </w:p>
    <w:p w14:paraId="4EAD313E" w14:textId="5825008E" w:rsidR="00042826" w:rsidRPr="00042826" w:rsidRDefault="00042826" w:rsidP="00042826">
      <w:pPr>
        <w:spacing w:after="0" w:line="240" w:lineRule="auto"/>
        <w:rPr>
          <w:rFonts w:cstheme="minorHAnsi"/>
        </w:rPr>
      </w:pPr>
      <w:r w:rsidRPr="002560E5">
        <w:rPr>
          <w:rFonts w:cstheme="minorHAnsi"/>
          <w:lang w:val="de-DE"/>
        </w:rPr>
        <w:t xml:space="preserve">Karl, A., Rittler, P., Buchner, A., Fradet, V., Speer, R., Walther, S., &amp; Stief, G. C. (2009). </w:t>
      </w:r>
      <w:r w:rsidRPr="00042826">
        <w:rPr>
          <w:rFonts w:cstheme="minorHAnsi"/>
        </w:rPr>
        <w:t>Urology,</w:t>
      </w:r>
      <w:r>
        <w:rPr>
          <w:rFonts w:cstheme="minorHAnsi"/>
        </w:rPr>
        <w:t xml:space="preserve"> </w:t>
      </w:r>
      <w:r w:rsidRPr="00042826">
        <w:rPr>
          <w:rFonts w:cstheme="minorHAnsi"/>
        </w:rPr>
        <w:t>73(5), 1072–1076. https://doi.org/10.1016/j.urology.2008.12.037</w:t>
      </w:r>
    </w:p>
    <w:sectPr w:rsidR="00042826" w:rsidRPr="000428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945CA"/>
    <w:multiLevelType w:val="hybridMultilevel"/>
    <w:tmpl w:val="621AEE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26"/>
    <w:rsid w:val="00003494"/>
    <w:rsid w:val="00042826"/>
    <w:rsid w:val="001F1287"/>
    <w:rsid w:val="002560E5"/>
    <w:rsid w:val="0030211E"/>
    <w:rsid w:val="00456A9A"/>
    <w:rsid w:val="005E0AEF"/>
    <w:rsid w:val="00881D69"/>
    <w:rsid w:val="00954761"/>
    <w:rsid w:val="00AE5549"/>
    <w:rsid w:val="00E34CA8"/>
    <w:rsid w:val="00E770CA"/>
    <w:rsid w:val="00FD5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4E9D"/>
  <w15:chartTrackingRefBased/>
  <w15:docId w15:val="{CCB6B553-877B-4F47-B231-0A5C15F1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82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2826"/>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00391-021-01922-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1555</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Robert Winfried</dc:creator>
  <cp:keywords/>
  <dc:description/>
  <cp:lastModifiedBy>SPEER Robert Winfried</cp:lastModifiedBy>
  <cp:revision>12</cp:revision>
  <dcterms:created xsi:type="dcterms:W3CDTF">2021-12-05T14:03:00Z</dcterms:created>
  <dcterms:modified xsi:type="dcterms:W3CDTF">2021-12-05T19:45:00Z</dcterms:modified>
</cp:coreProperties>
</file>